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КВАРТИРЫ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продаёт, а Покупатель покупает в собственность квартиру (далее — Квартира).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Квартира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расположена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Квартира принадлежит Продавцу на праве собственности на основании: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Право зарегистрировано в Едином государственном реестре недвижимости (далее — ЕГРН).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Продавец заверяет, что Квартира куплена без средств материнского (семейного) капитала.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Покупатель осмотрел Квартиру и претензий к её состоянию не имеет. Продавец сообщил ему обо всех известных недостатках Квартиры.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Цена Квартиры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изменяется только письменным соглашением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Цену Квартиры (далее — Сумма к расчёту) Покупатель уплачивает в следующем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Сумма к расчёту уплачивается через безотзывный покрытый аккредитив, который Покупатель открывает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 на срок </w:t>
      </w:r>
      <w:r>
        <w:rPr>
          <w:rFonts w:ascii="Times New Roman" w:hAnsi="Times New Roman" w:cs="Times New Roman"/>
          <w:sz w:val="24"/>
        </w:rPr>
        <w:t xml:space="preserve">60 календарных дней</w:t>
      </w:r>
      <w:r>
        <w:rPr>
          <w:rFonts w:ascii="Times New Roman" w:hAnsi="Times New Roman" w:cs="Times New Roman"/>
          <w:sz w:val="24"/>
        </w:rPr>
        <w:t xml:space="preserve">. Банк платит Продавцу по выписке из ЕГРН о праве Покупателя, а если право не зарегистрировано в срок аккредитива — возвращает деньги Покупателю.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Расходы на аккредитив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Права залога у Продавца на Квартиру не возникает.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Получение денег Продавец подтверждает распиской или банковским документом.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ПЕРЕХОД ПРАВА СОБСТВЕННОСТИ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Право собственности на Квартиру переходит к Покупателю с момента государственной регистрации перехода права в ЕГРН (статья 551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Стороны подают документы на регистрацию через МФЦ или электронно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Государственную пошлину за регистрацию уплачивает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Если Сторона уклоняется от регистрации, другая Сторона вправе требовать её в суде и возмещения убытков (пункт 3 статьи 551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ПЕРЕДАЧА КВАРТИРЫ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Продавец передаёт Квартиру Покупателю по передаточному акту в течение </w:t>
      </w:r>
      <w:r>
        <w:rPr>
          <w:rFonts w:ascii="Times New Roman" w:hAnsi="Times New Roman" w:cs="Times New Roman"/>
          <w:sz w:val="24"/>
        </w:rPr>
        <w:t xml:space="preserve">7 календарных дней</w:t>
      </w:r>
      <w:r>
        <w:rPr>
          <w:rFonts w:ascii="Times New Roman" w:hAnsi="Times New Roman" w:cs="Times New Roman"/>
          <w:sz w:val="24"/>
        </w:rPr>
        <w:t xml:space="preserve"> после регистрации перехода права собственности (статья 556 ГК РФ), освободив её от своих вещей.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Риск случайной гибели или повреждения Квартиры переходит к Покупателю с момента передачи.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Плату за жильё и коммунальные услуги до дня передачи вносит Продавец, после —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Долг по взносам на капитальный ремонт, перешедший к Покупателю (часть 3 статьи 158 ЖК РФ), Продавец возмещает Покупателю.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гарантирует, что Квартира не продана, не подарена, не заложена, в споре, под арестом и запрещением не состоит, в пользование не передана.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В Квартире никто не зарегистрирован по месту жительства. Лиц, сохраняющих в соответствии с законом право пользования Квартирой после её приобретения Покупателем, нет (статья 558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Нотариальное согласие супруга Продавца на продажу Квартиры получено (пункт 3 статьи 35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Продавец заверяет, что дело о его банкротстве не возбуждено. Если Квартиру изымут у Покупателя по основаниям, возникшим до исполнения Договора, Продавец возмещает цену и убытки (статья 461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Стороны заверяют, что дееспособны и заключают Договор добровольно, не на крайне невыгодных для себя условиях вследствие тяжёлых обстоятельств.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просрочку оплаты Покупатель платит Продавцу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неоплаченной суммы за каждый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За просрочку передачи Квартиры Продавец платит Покупателю неустойку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цены за каждый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если не договорятся — в суде по месту нахождения Квартиры.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Изменения Договора действительны в письменной форме за подписью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 одинаковой силы,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квартиры — образец 2026</dc:title>
  <dc:subject>Бланк договора купли-продажи квартиры по статьям 549–558 ГК РФ: предмет, цена, расчёты через аккредитив или сервис безопасных расчётов, ипотека, материнский капитал, регистрация, передача</dc:subject>
  <dc:creator>CalcLab — calclab.ru</dc:creator>
  <cp:keywords>договор купли-продажи квартиры, образец, бланк, 2026, между физическими лицами, ипотека, материнский капитал</cp:keywords>
  <dc:language>ru-RU</dc:language>
</cp:coreProperties>
</file>