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КУПЛИ-ПРОДАЖИ ЗЕМЕЛЬНОГО УЧАСТКА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Продавец,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Покупатель,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Продавец продаёт, а Покупатель покупает в собственность земельный участок (далее — Участок или Объект).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Участок: кадастровый номер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площадь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кв. м, категория земель — земли населённых пунктов, вид разрешённого использования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местоположение: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Право Продавца на Объект подтверждается выпиской из Единого государственного реестра недвижимости.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Сведения о местоположении границ Участка внесены в Единый государственный реестр недвижимости.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На Участке нет зданий, сооружений и объектов незавершённого строительства.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1.6. </w:t>
      </w:r>
      <w:r>
        <w:rPr>
          <w:rFonts w:ascii="Times New Roman" w:hAnsi="Times New Roman" w:cs="Times New Roman"/>
          <w:sz w:val="24"/>
        </w:rPr>
        <w:t xml:space="preserve">Продавец сообщил Покупателю, что известных ему обременений Участка и ограничений его использования нет (пункт 1 статьи 37 ЗК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1.7. </w:t>
      </w:r>
      <w:r>
        <w:rPr>
          <w:rFonts w:ascii="Times New Roman" w:hAnsi="Times New Roman" w:cs="Times New Roman"/>
          <w:sz w:val="24"/>
        </w:rPr>
        <w:t xml:space="preserve">Покупатель осмотрел Участок и претензий к его состоянию не имеет. Продавец сообщил ему обо всех известных недостатках Участка.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ЦЕНА И ПОРЯДОК РАСЧЁТОВ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Цена Объекта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Цена). Цена окончательная и изменяется только письменным соглашением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Цену (далее — Сумма к расчёту) Покупатель уплачивает Продавцу в порядке, установленном настоящим разделом.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Сумма к расчёту уплачивается с использованием безотзывного покрытого аккредитива, который Покупатель открывает в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в течение </w:t>
      </w:r>
      <w:r>
        <w:rPr>
          <w:rFonts w:ascii="Times New Roman" w:hAnsi="Times New Roman" w:cs="Times New Roman"/>
          <w:sz w:val="24"/>
        </w:rPr>
        <w:t xml:space="preserve">3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Договора, получатель — Продавец, срок действия — </w:t>
      </w:r>
      <w:r>
        <w:rPr>
          <w:rFonts w:ascii="Times New Roman" w:hAnsi="Times New Roman" w:cs="Times New Roman"/>
          <w:sz w:val="24"/>
        </w:rPr>
        <w:t xml:space="preserve">60 календарных дней</w:t>
      </w:r>
      <w:r>
        <w:rPr>
          <w:rFonts w:ascii="Times New Roman" w:hAnsi="Times New Roman" w:cs="Times New Roman"/>
          <w:sz w:val="24"/>
        </w:rPr>
        <w:t xml:space="preserve">. Банк перечисляет деньги Продавцу после представления выписки из Единого государственного реестра недвижимости о регистрации права собственности Покупателя на Объект. Если право не будет зарегистрировано в срок действия аккредитива, деньги возвращаются Покупателю. Расходы на аккредитив несёт Покупатель.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Права залога у Продавца на Объект не возникает.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Получение денег Продавец подтверждает распиской или банковским документом.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ПЕРЕХОД ПРАВА СОБСТВЕННОСТИ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Право собственности на Объект переходит к Покупателю с момента государственной регистрации перехода права (статья 551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Стороны совместно подают документы на государственную регистрацию через МФЦ или в электронном виде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Государственную пошлину за регистрацию перехода права собственности уплачивает Покупатель. Если одна из Сторон уклоняется от регистрации, другая вправе потребовать регистрации в суде и возмещения убытков (пункт 3 статьи 551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ПЕРЕДАЧА УЧАСТКА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Продавец передаёт Объект Покупателю по передаточному акту в течение </w:t>
      </w:r>
      <w:r>
        <w:rPr>
          <w:rFonts w:ascii="Times New Roman" w:hAnsi="Times New Roman" w:cs="Times New Roman"/>
          <w:sz w:val="24"/>
        </w:rPr>
        <w:t xml:space="preserve">7 календарных дней</w:t>
      </w:r>
      <w:r>
        <w:rPr>
          <w:rFonts w:ascii="Times New Roman" w:hAnsi="Times New Roman" w:cs="Times New Roman"/>
          <w:sz w:val="24"/>
        </w:rPr>
        <w:t xml:space="preserve"> после государственной регистрации перехода права собственности. До передачи Продавец сохраняет Объект в состоянии на день подписания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Обязанность Продавца передать Объект исполнена после подписания Сторонами передаточного акта (статья 556 ГК РФ). С этого момента риск случайной гибели или повреждения Объекта несёт Покупатель.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Вместе с Объектом Продавец передаёт имеющиеся у него документы на Участок: межевой план, документы о подключении к сетям.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ГАРАНТИИ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Продавец гарантирует, что Объект не продан, не подарен, не заложен, в споре и под арестом не состоит, в аренду и пользование не передан, кроме указанного в Договоре.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Нотариально удостоверенное согласие супруга Продавца на продажу Объекта получено (пункт 3 статьи 35 СК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Продавец оплачивает коммунальные услуги по Участку до дня передачи. Земельный налог каждая Сторона уплачивает за период своего владения.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Если Объект будет изъят у Покупателя по основаниям, возникшим до исполнения Договора, Продавец возмещает уплаченную цену и убытки (статья 461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5.5. </w:t>
      </w:r>
      <w:r>
        <w:rPr>
          <w:rFonts w:ascii="Times New Roman" w:hAnsi="Times New Roman" w:cs="Times New Roman"/>
          <w:sz w:val="24"/>
        </w:rPr>
        <w:t xml:space="preserve">Стороны заверяют, что они дееспособны и не находятся в процедуре банкротства.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За просрочку оплаты Покупатель уплачивает Продавцу неустойку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неоплаченной суммы за каждый день просрочки.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За просрочку передачи Объекта Продавец уплачивает Покупателю неустойку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Цены за каждый день просрочки.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Стороны освобождаются от ответственности за нарушение, вызванное непреодолимой силой, если сообщат о ней другой Стороне в течение пяти рабочих дней.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СПОРЫ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Споры Стороны решают переговорами и в претензионном порядке: срок ответа на претензию — десять рабочих дней. Неурегулированный спор рассматривает суд по месту нахождения Участка.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Изменения к Договору действительны, если они оформлены письменно и подписаны Сторонами. Сообщения Стороны направляют по адресам из реквизитов.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Продавец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Покупатель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земельного участка — образец 2026</dc:title>
  <dc:subject>Бланк договора купли-продажи земельного участка</dc:subject>
  <dc:creator>CalcLab — calclab.ru</dc:creator>
  <cp:keywords>договор купли-продажи земельного участка, образец, бланк, 2026</cp:keywords>
  <dc:language>ru-RU</dc:language>
</cp:coreProperties>
</file>